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Unisex Reading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Unisex Reading Glasses</w:t>
      </w:r>
    </w:p>
    <w:p>
      <w:pPr>
        <w:spacing w:after="120"/>
        <w:jc w:val="both"/>
      </w:pPr>
      <w:r>
        <w:rPr>
          <w:rFonts w:ascii="Calibri" w:hAnsi="Calibri"/>
          <w:b w:val="0"/>
          <w:i w:val="0"/>
          <w:sz w:val="21"/>
        </w:rPr>
        <w:t>Custom unisex reading glasses covering neutral styles that suit both men and women. The collection includes full-rim, semi-rimless and folding designs in metal and TR90, with diopters covering common presbyopia ranges. Clear structuring, stable hinges and comfortable nose bridges keep the readers dependable for daily close work such as reading, sewing and smartphone use. Neutral colorways let one SKU serve a broad customer base, and diopter range, colors and logo can be customized to match private-label retail and pharmacy programs.</w:t>
      </w:r>
    </w:p>
    <w:p>
      <w:pPr>
        <w:spacing w:before="280" w:after="120"/>
      </w:pPr>
      <w:r>
        <w:rPr>
          <w:rFonts w:ascii="Calibri" w:hAnsi="Calibri"/>
          <w:b/>
          <w:color w:val="1F3B5C"/>
          <w:sz w:val="28"/>
        </w:rPr>
        <w:t>Key Selling Points - Custom Reading Glasses</w:t>
      </w:r>
    </w:p>
    <w:p>
      <w:pPr>
        <w:pStyle w:val="ListBullet"/>
        <w:spacing w:after="80"/>
      </w:pPr>
      <w:r>
        <w:rPr>
          <w:rFonts w:ascii="Calibri" w:hAnsi="Calibri"/>
          <w:sz w:val="21"/>
        </w:rPr>
        <w:t>Functional range design: classic readers, sun readers, clip-on readers, magnetic and foldable styles.</w:t>
      </w:r>
    </w:p>
    <w:p>
      <w:pPr>
        <w:pStyle w:val="ListBullet"/>
        <w:spacing w:after="80"/>
      </w:pPr>
      <w:r>
        <w:rPr>
          <w:rFonts w:ascii="Calibri" w:hAnsi="Calibri"/>
          <w:sz w:val="21"/>
        </w:rPr>
        <w:t>Diopter coverage across common presbyopia ranges with precise lens handling.</w:t>
      </w:r>
    </w:p>
    <w:p>
      <w:pPr>
        <w:pStyle w:val="ListBullet"/>
        <w:spacing w:after="80"/>
      </w:pPr>
      <w:r>
        <w:rPr>
          <w:rFonts w:ascii="Calibri" w:hAnsi="Calibri"/>
          <w:sz w:val="21"/>
        </w:rPr>
        <w:t>Positioning flexibility: from everyday drugstore readers to optical-grade mid-tier models.</w:t>
      </w:r>
    </w:p>
    <w:p>
      <w:pPr>
        <w:pStyle w:val="ListBullet"/>
        <w:spacing w:after="80"/>
      </w:pPr>
      <w:r>
        <w:rPr>
          <w:rFonts w:ascii="Calibri" w:hAnsi="Calibri"/>
          <w:sz w:val="21"/>
        </w:rPr>
        <w:t>Daily-carry durability: strong hinges, stable plating and pocket-friendly structures.</w:t>
      </w:r>
    </w:p>
    <w:p>
      <w:pPr>
        <w:pStyle w:val="ListBullet"/>
        <w:spacing w:after="80"/>
      </w:pPr>
      <w:r>
        <w:rPr>
          <w:rFonts w:ascii="Calibri" w:hAnsi="Calibri"/>
          <w:sz w:val="21"/>
        </w:rPr>
        <w:t>Customizable diopters, colors, materials and logos for retail, pharmacy and brand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https://www.readsunoptical.com/products2149825/Custom-Unisex-Reading-glasses.htm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